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center"/>
        <w:rPr>
          <w:rFonts w:ascii="宋体" w:hAnsi="宋体" w:eastAsia="宋体" w:cs="宋体"/>
          <w:color w:val="000000"/>
          <w:kern w:val="0"/>
          <w:sz w:val="18"/>
          <w:szCs w:val="18"/>
        </w:rPr>
      </w:pPr>
      <w:bookmarkStart w:id="0" w:name="OLE_LINK1"/>
      <w:r>
        <w:rPr>
          <w:rFonts w:hint="eastAsia" w:ascii="楷体" w:hAnsi="楷体" w:eastAsia="楷体" w:cs="宋体"/>
          <w:b/>
          <w:bCs/>
          <w:color w:val="0000FF"/>
          <w:kern w:val="0"/>
          <w:sz w:val="30"/>
          <w:szCs w:val="30"/>
        </w:rPr>
        <w:t>《闽江学院学报》稿约</w:t>
      </w:r>
      <w:bookmarkEnd w:id="0"/>
    </w:p>
    <w:p>
      <w:pPr>
        <w:widowControl/>
        <w:jc w:val="left"/>
        <w:rPr>
          <w:rFonts w:hint="eastAsia" w:ascii="宋体" w:hAnsi="宋体" w:eastAsia="宋体" w:cs="宋体"/>
          <w:color w:val="000000"/>
          <w:kern w:val="0"/>
          <w:sz w:val="18"/>
          <w:szCs w:val="18"/>
        </w:rPr>
      </w:pPr>
      <w:r>
        <w:rPr>
          <w:rFonts w:hint="eastAsia" w:ascii="宋体" w:hAnsi="宋体" w:eastAsia="宋体" w:cs="宋体"/>
          <w:color w:val="000000"/>
          <w:kern w:val="0"/>
          <w:sz w:val="18"/>
          <w:szCs w:val="18"/>
        </w:rPr>
        <w:t> </w:t>
      </w:r>
    </w:p>
    <w:p>
      <w:pPr>
        <w:widowControl/>
        <w:spacing w:line="360" w:lineRule="auto"/>
        <w:ind w:firstLine="480" w:firstLineChars="200"/>
        <w:jc w:val="left"/>
        <w:rPr>
          <w:rFonts w:hint="eastAsia" w:ascii="宋体" w:hAnsi="宋体" w:eastAsia="宋体" w:cs="宋体"/>
          <w:color w:val="000000"/>
          <w:kern w:val="0"/>
          <w:sz w:val="18"/>
          <w:szCs w:val="18"/>
        </w:rPr>
      </w:pPr>
      <w:r>
        <w:rPr>
          <w:rFonts w:hint="eastAsia" w:ascii="楷体" w:hAnsi="楷体" w:eastAsia="楷体" w:cs="宋体"/>
          <w:color w:val="000000"/>
          <w:kern w:val="0"/>
          <w:sz w:val="24"/>
          <w:szCs w:val="24"/>
        </w:rPr>
        <w:t>《闽江学院学报》是经国家新闻出版广电总局批准，由闽江学院主管、主办，面向国内外公开发行的综合性学术期刊，双月刊，逢单月末出版。第1、3、4、6期为哲学社会科学内容，主要设有“闽文化研究”“政治学”“经济学”“文学”“语言学”“教育学”“艺术学”“旅游学”等栏目；第2、5期为自然科学内容，主要刊登数学、计算科学、物理、电子科学、化学等学科的研究成果。</w:t>
      </w:r>
    </w:p>
    <w:p>
      <w:pPr>
        <w:widowControl/>
        <w:spacing w:line="360" w:lineRule="auto"/>
        <w:ind w:firstLine="480" w:firstLineChars="200"/>
        <w:jc w:val="left"/>
        <w:rPr>
          <w:rFonts w:hint="eastAsia" w:ascii="宋体" w:hAnsi="宋体" w:eastAsia="宋体" w:cs="宋体"/>
          <w:color w:val="000000"/>
          <w:kern w:val="0"/>
          <w:sz w:val="18"/>
          <w:szCs w:val="18"/>
        </w:rPr>
      </w:pPr>
      <w:r>
        <w:rPr>
          <w:rFonts w:hint="eastAsia" w:ascii="楷体" w:hAnsi="楷体" w:eastAsia="楷体" w:cs="宋体"/>
          <w:color w:val="000000"/>
          <w:kern w:val="0"/>
          <w:sz w:val="24"/>
          <w:szCs w:val="24"/>
        </w:rPr>
        <w:t>热忱欢迎您向《闽江学院学报》投稿，请您进入本刊的“作者投稿”系统进行网上投稿，并请遵守以下规定（详见网站首页左下方《闽江学院学报》编排说明、编排范例）。</w:t>
      </w:r>
    </w:p>
    <w:p>
      <w:pPr>
        <w:widowControl/>
        <w:spacing w:line="360" w:lineRule="auto"/>
        <w:ind w:firstLine="482" w:firstLineChars="200"/>
        <w:jc w:val="left"/>
        <w:rPr>
          <w:rFonts w:hint="eastAsia" w:ascii="宋体" w:hAnsi="宋体" w:eastAsia="宋体" w:cs="宋体"/>
          <w:color w:val="000000"/>
          <w:kern w:val="0"/>
          <w:sz w:val="18"/>
          <w:szCs w:val="18"/>
        </w:rPr>
      </w:pPr>
      <w:r>
        <w:rPr>
          <w:rFonts w:hint="eastAsia" w:ascii="楷体" w:hAnsi="楷体" w:eastAsia="楷体" w:cs="宋体"/>
          <w:b/>
          <w:bCs/>
          <w:color w:val="000000"/>
          <w:kern w:val="0"/>
          <w:sz w:val="24"/>
          <w:szCs w:val="24"/>
        </w:rPr>
        <w:t>一、</w:t>
      </w:r>
      <w:r>
        <w:rPr>
          <w:rFonts w:hint="eastAsia" w:ascii="楷体" w:hAnsi="楷体" w:eastAsia="楷体" w:cs="宋体"/>
          <w:color w:val="000000"/>
          <w:kern w:val="0"/>
          <w:sz w:val="24"/>
          <w:szCs w:val="24"/>
        </w:rPr>
        <w:t>来稿请写明作者姓名、出生年、性别、民族、籍贯、工作单位全称及部门、职称、学位（硕士及以下学位可省略）、详细通讯地址、邮政编码、联系电话、电子信箱等。</w:t>
      </w:r>
    </w:p>
    <w:p>
      <w:pPr>
        <w:widowControl/>
        <w:spacing w:line="360" w:lineRule="auto"/>
        <w:ind w:firstLine="482" w:firstLineChars="200"/>
        <w:jc w:val="left"/>
        <w:rPr>
          <w:rFonts w:hint="eastAsia" w:ascii="宋体" w:hAnsi="宋体" w:eastAsia="宋体" w:cs="宋体"/>
          <w:color w:val="000000"/>
          <w:kern w:val="0"/>
          <w:sz w:val="18"/>
          <w:szCs w:val="18"/>
        </w:rPr>
      </w:pPr>
      <w:r>
        <w:rPr>
          <w:rFonts w:hint="eastAsia" w:ascii="楷体" w:hAnsi="楷体" w:eastAsia="楷体" w:cs="宋体"/>
          <w:b/>
          <w:bCs/>
          <w:color w:val="000000"/>
          <w:kern w:val="0"/>
          <w:sz w:val="24"/>
          <w:szCs w:val="24"/>
        </w:rPr>
        <w:t>二、</w:t>
      </w:r>
      <w:r>
        <w:rPr>
          <w:rFonts w:hint="eastAsia" w:ascii="楷体" w:hAnsi="楷体" w:eastAsia="楷体" w:cs="宋体"/>
          <w:color w:val="000000"/>
          <w:kern w:val="0"/>
          <w:sz w:val="24"/>
          <w:szCs w:val="24"/>
        </w:rPr>
        <w:t>来稿应在正文前附中文摘要、关键词及中图分类号，文后附英文题目、英文名字、英文单位名、英文摘要、英文关键词。</w:t>
      </w:r>
    </w:p>
    <w:p>
      <w:pPr>
        <w:widowControl/>
        <w:spacing w:line="360" w:lineRule="auto"/>
        <w:ind w:firstLine="723" w:firstLineChars="300"/>
        <w:jc w:val="left"/>
        <w:rPr>
          <w:rFonts w:hint="eastAsia" w:ascii="宋体" w:hAnsi="宋体" w:eastAsia="宋体" w:cs="宋体"/>
          <w:color w:val="000000"/>
          <w:kern w:val="0"/>
          <w:sz w:val="18"/>
          <w:szCs w:val="18"/>
        </w:rPr>
      </w:pPr>
      <w:r>
        <w:rPr>
          <w:rFonts w:hint="eastAsia" w:ascii="楷体" w:hAnsi="楷体" w:eastAsia="楷体" w:cs="宋体"/>
          <w:b/>
          <w:bCs/>
          <w:color w:val="000000"/>
          <w:kern w:val="0"/>
          <w:sz w:val="24"/>
          <w:szCs w:val="24"/>
        </w:rPr>
        <w:t>1. 中文题名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</w:rPr>
        <w:t>  </w:t>
      </w:r>
      <w:r>
        <w:rPr>
          <w:rFonts w:hint="eastAsia" w:ascii="楷体" w:hAnsi="楷体" w:eastAsia="楷体" w:cs="宋体"/>
          <w:color w:val="000000"/>
          <w:kern w:val="0"/>
          <w:sz w:val="24"/>
          <w:szCs w:val="24"/>
        </w:rPr>
        <w:t>不超过25个汉字，必要时可加副标题。</w:t>
      </w:r>
    </w:p>
    <w:p>
      <w:pPr>
        <w:widowControl/>
        <w:spacing w:line="360" w:lineRule="auto"/>
        <w:ind w:firstLine="723" w:firstLineChars="300"/>
        <w:jc w:val="left"/>
        <w:rPr>
          <w:rFonts w:hint="eastAsia" w:ascii="宋体" w:hAnsi="宋体" w:eastAsia="宋体" w:cs="宋体"/>
          <w:color w:val="000000"/>
          <w:kern w:val="0"/>
          <w:sz w:val="18"/>
          <w:szCs w:val="18"/>
        </w:rPr>
      </w:pPr>
      <w:r>
        <w:rPr>
          <w:rFonts w:hint="eastAsia" w:ascii="楷体" w:hAnsi="楷体" w:eastAsia="楷体" w:cs="宋体"/>
          <w:b/>
          <w:bCs/>
          <w:color w:val="000000"/>
          <w:kern w:val="0"/>
          <w:sz w:val="24"/>
          <w:szCs w:val="24"/>
        </w:rPr>
        <w:t>2. 中文摘要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</w:rPr>
        <w:t>  </w:t>
      </w:r>
      <w:r>
        <w:rPr>
          <w:rFonts w:hint="eastAsia" w:ascii="楷体" w:hAnsi="楷体" w:eastAsia="楷体" w:cs="宋体"/>
          <w:color w:val="000000"/>
          <w:kern w:val="0"/>
          <w:sz w:val="24"/>
          <w:szCs w:val="24"/>
        </w:rPr>
        <w:t>全文主要论点和内容的缩写、提炼，以200字左右为宜。英文摘要应与中文摘要的文意一致。</w:t>
      </w:r>
    </w:p>
    <w:p>
      <w:pPr>
        <w:widowControl/>
        <w:spacing w:line="360" w:lineRule="auto"/>
        <w:ind w:firstLine="723" w:firstLineChars="300"/>
        <w:jc w:val="left"/>
        <w:rPr>
          <w:rFonts w:hint="eastAsia" w:ascii="宋体" w:hAnsi="宋体" w:eastAsia="宋体" w:cs="宋体"/>
          <w:color w:val="000000"/>
          <w:kern w:val="0"/>
          <w:sz w:val="18"/>
          <w:szCs w:val="18"/>
        </w:rPr>
      </w:pPr>
      <w:r>
        <w:rPr>
          <w:rFonts w:hint="eastAsia" w:ascii="楷体" w:hAnsi="楷体" w:eastAsia="楷体" w:cs="宋体"/>
          <w:b/>
          <w:bCs/>
          <w:color w:val="000000"/>
          <w:kern w:val="0"/>
          <w:sz w:val="24"/>
          <w:szCs w:val="24"/>
        </w:rPr>
        <w:t>3.</w:t>
      </w:r>
      <w:r>
        <w:rPr>
          <w:rFonts w:hint="eastAsia" w:ascii="楷体" w:hAnsi="楷体" w:eastAsia="楷体" w:cs="宋体"/>
          <w:b/>
          <w:bCs/>
          <w:color w:val="000000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楷体" w:hAnsi="楷体" w:eastAsia="楷体" w:cs="宋体"/>
          <w:b/>
          <w:bCs/>
          <w:color w:val="000000"/>
          <w:kern w:val="0"/>
          <w:sz w:val="24"/>
          <w:szCs w:val="24"/>
        </w:rPr>
        <w:t>关键词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</w:rPr>
        <w:t>  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楷体" w:hAnsi="楷体" w:eastAsia="楷体" w:cs="宋体"/>
          <w:color w:val="000000"/>
          <w:kern w:val="0"/>
          <w:sz w:val="24"/>
          <w:szCs w:val="24"/>
        </w:rPr>
        <w:t>要求3～8个，英文关键词应与中文关键词一一对应。</w:t>
      </w:r>
    </w:p>
    <w:p>
      <w:pPr>
        <w:widowControl/>
        <w:spacing w:line="360" w:lineRule="auto"/>
        <w:ind w:firstLine="723" w:firstLineChars="300"/>
        <w:jc w:val="left"/>
        <w:rPr>
          <w:rFonts w:hint="eastAsia" w:ascii="宋体" w:hAnsi="宋体" w:eastAsia="宋体" w:cs="宋体"/>
          <w:color w:val="000000"/>
          <w:kern w:val="0"/>
          <w:sz w:val="18"/>
          <w:szCs w:val="18"/>
        </w:rPr>
      </w:pPr>
      <w:r>
        <w:rPr>
          <w:rFonts w:hint="eastAsia" w:ascii="楷体" w:hAnsi="楷体" w:eastAsia="楷体" w:cs="宋体"/>
          <w:b/>
          <w:bCs/>
          <w:color w:val="000000"/>
          <w:kern w:val="0"/>
          <w:sz w:val="24"/>
          <w:szCs w:val="24"/>
        </w:rPr>
        <w:t>4. 作者简介、基金项目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</w:rPr>
        <w:t>   </w:t>
      </w:r>
      <w:r>
        <w:rPr>
          <w:rFonts w:hint="eastAsia" w:ascii="楷体" w:hAnsi="楷体" w:eastAsia="楷体" w:cs="宋体"/>
          <w:color w:val="000000"/>
          <w:kern w:val="0"/>
          <w:sz w:val="24"/>
          <w:szCs w:val="24"/>
        </w:rPr>
        <w:t>以脚注的方式置于首页下方。示例如下：</w:t>
      </w:r>
    </w:p>
    <w:p>
      <w:pPr>
        <w:widowControl/>
        <w:spacing w:line="360" w:lineRule="auto"/>
        <w:ind w:firstLine="720" w:firstLineChars="300"/>
        <w:jc w:val="left"/>
        <w:rPr>
          <w:rFonts w:hint="eastAsia" w:ascii="宋体" w:hAnsi="宋体" w:eastAsia="宋体" w:cs="宋体"/>
          <w:color w:val="000000"/>
          <w:kern w:val="0"/>
          <w:sz w:val="18"/>
          <w:szCs w:val="18"/>
        </w:rPr>
      </w:pPr>
      <w:r>
        <w:rPr>
          <w:rFonts w:hint="eastAsia" w:ascii="楷体" w:hAnsi="楷体" w:eastAsia="楷体" w:cs="宋体"/>
          <w:color w:val="000000"/>
          <w:kern w:val="0"/>
          <w:sz w:val="24"/>
          <w:szCs w:val="24"/>
        </w:rPr>
        <w:t>作者简介：XXX（1980- ），男，福建福州人，XX大学XX系教授，XX学博士，研究方向，电子邮箱。</w:t>
      </w:r>
    </w:p>
    <w:p>
      <w:pPr>
        <w:widowControl/>
        <w:spacing w:line="360" w:lineRule="auto"/>
        <w:ind w:firstLine="720" w:firstLineChars="300"/>
        <w:jc w:val="left"/>
        <w:rPr>
          <w:rFonts w:hint="eastAsia" w:ascii="宋体" w:hAnsi="宋体" w:eastAsia="宋体" w:cs="宋体"/>
          <w:color w:val="000000"/>
          <w:kern w:val="0"/>
          <w:sz w:val="18"/>
          <w:szCs w:val="18"/>
        </w:rPr>
      </w:pPr>
      <w:r>
        <w:rPr>
          <w:rFonts w:hint="eastAsia" w:ascii="楷体" w:hAnsi="楷体" w:eastAsia="楷体" w:cs="宋体"/>
          <w:color w:val="000000"/>
          <w:kern w:val="0"/>
          <w:sz w:val="24"/>
          <w:szCs w:val="24"/>
        </w:rPr>
        <w:t>基金项目：XXXXXXXX项目（项目编号）</w:t>
      </w:r>
    </w:p>
    <w:p>
      <w:pPr>
        <w:widowControl/>
        <w:spacing w:line="360" w:lineRule="auto"/>
        <w:ind w:firstLine="723" w:firstLineChars="300"/>
        <w:jc w:val="left"/>
        <w:rPr>
          <w:rFonts w:hint="eastAsia" w:ascii="宋体" w:hAnsi="宋体" w:eastAsia="宋体" w:cs="宋体"/>
          <w:color w:val="000000"/>
          <w:kern w:val="0"/>
          <w:sz w:val="18"/>
          <w:szCs w:val="18"/>
        </w:rPr>
      </w:pPr>
      <w:r>
        <w:rPr>
          <w:rFonts w:hint="eastAsia" w:ascii="楷体" w:hAnsi="楷体" w:eastAsia="楷体" w:cs="宋体"/>
          <w:b/>
          <w:bCs/>
          <w:color w:val="000000"/>
          <w:kern w:val="0"/>
          <w:sz w:val="24"/>
          <w:szCs w:val="24"/>
        </w:rPr>
        <w:t>5. 正文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</w:rPr>
        <w:t>  </w:t>
      </w:r>
      <w:r>
        <w:rPr>
          <w:rFonts w:hint="eastAsia" w:ascii="楷体" w:hAnsi="楷体" w:eastAsia="楷体" w:cs="宋体"/>
          <w:color w:val="000000"/>
          <w:kern w:val="0"/>
          <w:sz w:val="24"/>
          <w:szCs w:val="24"/>
        </w:rPr>
        <w:t>字数一般不少于8000字。要求用字规范，语句通顺，标点正确。文章内容须求实创新，论点明确，切忌空谈和抄袭。</w:t>
      </w:r>
    </w:p>
    <w:p>
      <w:pPr>
        <w:widowControl/>
        <w:spacing w:line="360" w:lineRule="auto"/>
        <w:ind w:firstLine="723" w:firstLineChars="300"/>
        <w:jc w:val="left"/>
        <w:rPr>
          <w:rFonts w:hint="eastAsia" w:ascii="宋体" w:hAnsi="宋体" w:eastAsia="宋体" w:cs="宋体"/>
          <w:color w:val="000000"/>
          <w:kern w:val="0"/>
          <w:sz w:val="18"/>
          <w:szCs w:val="18"/>
        </w:rPr>
      </w:pPr>
      <w:r>
        <w:rPr>
          <w:rFonts w:hint="eastAsia" w:ascii="楷体" w:hAnsi="楷体" w:eastAsia="楷体" w:cs="宋体"/>
          <w:b/>
          <w:bCs/>
          <w:color w:val="000000"/>
          <w:kern w:val="0"/>
          <w:sz w:val="24"/>
          <w:szCs w:val="24"/>
        </w:rPr>
        <w:t>6. 图表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</w:rPr>
        <w:t>  </w:t>
      </w:r>
      <w:r>
        <w:rPr>
          <w:rFonts w:hint="eastAsia" w:ascii="楷体" w:hAnsi="楷体" w:eastAsia="楷体" w:cs="宋体"/>
          <w:color w:val="000000"/>
          <w:kern w:val="0"/>
          <w:sz w:val="24"/>
          <w:szCs w:val="24"/>
        </w:rPr>
        <w:t>图表需简明清晰，不得有背景，须配有图题、表题，并以阿拉伯数字连续编号。图表均要求黑白格式。图的中文字、符号、坐标标值必须清晰，层次分明；表格采用三线表；图表中出现的数值都应标有量和单位。</w:t>
      </w:r>
    </w:p>
    <w:p>
      <w:pPr>
        <w:widowControl/>
        <w:spacing w:line="360" w:lineRule="auto"/>
        <w:ind w:firstLine="723" w:firstLineChars="300"/>
        <w:jc w:val="left"/>
        <w:rPr>
          <w:rFonts w:hint="eastAsia" w:ascii="宋体" w:hAnsi="宋体" w:eastAsia="宋体" w:cs="宋体"/>
          <w:color w:val="000000"/>
          <w:kern w:val="0"/>
          <w:sz w:val="18"/>
          <w:szCs w:val="18"/>
        </w:rPr>
      </w:pPr>
      <w:r>
        <w:rPr>
          <w:rFonts w:hint="eastAsia" w:ascii="楷体" w:hAnsi="楷体" w:eastAsia="楷体" w:cs="宋体"/>
          <w:b/>
          <w:bCs/>
          <w:color w:val="000000"/>
          <w:kern w:val="0"/>
          <w:sz w:val="24"/>
          <w:szCs w:val="24"/>
        </w:rPr>
        <w:t>7. 量和单位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</w:rPr>
        <w:t>  </w:t>
      </w:r>
      <w:r>
        <w:rPr>
          <w:rFonts w:hint="eastAsia" w:ascii="楷体" w:hAnsi="楷体" w:eastAsia="楷体" w:cs="宋体"/>
          <w:color w:val="000000"/>
          <w:kern w:val="0"/>
          <w:sz w:val="24"/>
          <w:szCs w:val="24"/>
        </w:rPr>
        <w:t>必须符合最新国家法定计量单位标准和国际通用规则。</w:t>
      </w:r>
    </w:p>
    <w:p>
      <w:pPr>
        <w:widowControl/>
        <w:spacing w:line="360" w:lineRule="auto"/>
        <w:ind w:firstLine="723" w:firstLineChars="300"/>
        <w:jc w:val="left"/>
        <w:rPr>
          <w:rFonts w:hint="eastAsia" w:ascii="宋体" w:hAnsi="宋体" w:eastAsia="宋体" w:cs="宋体"/>
          <w:color w:val="000000"/>
          <w:kern w:val="0"/>
          <w:sz w:val="18"/>
          <w:szCs w:val="18"/>
        </w:rPr>
      </w:pPr>
      <w:r>
        <w:rPr>
          <w:rFonts w:hint="eastAsia" w:ascii="楷体" w:hAnsi="楷体" w:eastAsia="楷体" w:cs="宋体"/>
          <w:b/>
          <w:bCs/>
          <w:color w:val="000000"/>
          <w:kern w:val="0"/>
          <w:sz w:val="24"/>
          <w:szCs w:val="24"/>
        </w:rPr>
        <w:t>8. 参考文献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</w:rPr>
        <w:t>  </w:t>
      </w:r>
      <w:r>
        <w:rPr>
          <w:rFonts w:hint="eastAsia" w:ascii="楷体" w:hAnsi="楷体" w:eastAsia="楷体" w:cs="宋体"/>
          <w:color w:val="000000"/>
          <w:kern w:val="0"/>
          <w:sz w:val="24"/>
          <w:szCs w:val="24"/>
        </w:rPr>
        <w:t>参考文献参照《信息与文献 参考文献著录规则》(GB/T 7714-2015),以公开发表的新近文献为主，采用顺序编码制，按文中出现的先后顺序排序，并在文中引用处标出，用[1][2][3]等标示。如对文章某一特定内容作解释或说明的，使用页下注标示，每页重新排序，用①②③等标示。</w:t>
      </w:r>
    </w:p>
    <w:p>
      <w:pPr>
        <w:widowControl/>
        <w:spacing w:line="360" w:lineRule="auto"/>
        <w:ind w:firstLine="480" w:firstLineChars="200"/>
        <w:jc w:val="left"/>
        <w:rPr>
          <w:rFonts w:hint="eastAsia" w:ascii="宋体" w:hAnsi="宋体" w:eastAsia="宋体" w:cs="宋体"/>
          <w:color w:val="000000"/>
          <w:kern w:val="0"/>
          <w:sz w:val="18"/>
          <w:szCs w:val="18"/>
        </w:rPr>
      </w:pPr>
      <w:r>
        <w:rPr>
          <w:rFonts w:hint="eastAsia" w:ascii="楷体" w:hAnsi="楷体" w:eastAsia="楷体" w:cs="宋体"/>
          <w:color w:val="000000"/>
          <w:kern w:val="0"/>
          <w:sz w:val="24"/>
          <w:szCs w:val="24"/>
        </w:rPr>
        <w:t>示例：</w:t>
      </w:r>
    </w:p>
    <w:p>
      <w:pPr>
        <w:widowControl/>
        <w:spacing w:line="360" w:lineRule="auto"/>
        <w:ind w:firstLine="482" w:firstLineChars="200"/>
        <w:jc w:val="left"/>
        <w:rPr>
          <w:rFonts w:hint="eastAsia" w:ascii="宋体" w:hAnsi="宋体" w:eastAsia="宋体" w:cs="宋体"/>
          <w:color w:val="000000"/>
          <w:kern w:val="0"/>
          <w:sz w:val="18"/>
          <w:szCs w:val="18"/>
        </w:rPr>
      </w:pPr>
      <w:r>
        <w:rPr>
          <w:rFonts w:hint="eastAsia" w:ascii="楷体" w:hAnsi="楷体" w:eastAsia="楷体" w:cs="宋体"/>
          <w:b/>
          <w:bCs/>
          <w:color w:val="000000"/>
          <w:kern w:val="0"/>
          <w:sz w:val="24"/>
          <w:szCs w:val="24"/>
        </w:rPr>
        <w:t>[1]罗斯基.战前中国经济的增长[M].唐巧天,毛立坤,姜修宪,译.杭州:浙江大学出版社,2009.</w:t>
      </w:r>
    </w:p>
    <w:p>
      <w:pPr>
        <w:widowControl/>
        <w:spacing w:line="360" w:lineRule="auto"/>
        <w:ind w:firstLine="482" w:firstLineChars="200"/>
        <w:jc w:val="left"/>
        <w:rPr>
          <w:rFonts w:hint="eastAsia" w:ascii="宋体" w:hAnsi="宋体" w:eastAsia="宋体" w:cs="宋体"/>
          <w:color w:val="000000"/>
          <w:kern w:val="0"/>
          <w:sz w:val="18"/>
          <w:szCs w:val="18"/>
        </w:rPr>
      </w:pPr>
      <w:r>
        <w:rPr>
          <w:rFonts w:hint="eastAsia" w:ascii="楷体" w:hAnsi="楷体" w:eastAsia="楷体" w:cs="宋体"/>
          <w:b/>
          <w:bCs/>
          <w:color w:val="000000"/>
          <w:kern w:val="0"/>
          <w:sz w:val="24"/>
          <w:szCs w:val="24"/>
        </w:rPr>
        <w:t>[2]于潇,刘义,柴跃廷,等.互联网药品可信交易环境中主体资质审核备案模式[J].清华大学学报(自然科学版),2012,52(11):1515-1523.</w:t>
      </w:r>
    </w:p>
    <w:p>
      <w:pPr>
        <w:widowControl/>
        <w:spacing w:line="360" w:lineRule="auto"/>
        <w:ind w:firstLine="482" w:firstLineChars="200"/>
        <w:jc w:val="left"/>
        <w:rPr>
          <w:rFonts w:hint="eastAsia" w:ascii="宋体" w:hAnsi="宋体" w:eastAsia="宋体" w:cs="宋体"/>
          <w:color w:val="000000"/>
          <w:kern w:val="0"/>
          <w:sz w:val="18"/>
          <w:szCs w:val="18"/>
        </w:rPr>
      </w:pPr>
      <w:r>
        <w:rPr>
          <w:rFonts w:hint="eastAsia" w:ascii="楷体" w:hAnsi="楷体" w:eastAsia="楷体" w:cs="宋体"/>
          <w:b/>
          <w:bCs/>
          <w:color w:val="000000"/>
          <w:kern w:val="0"/>
          <w:sz w:val="24"/>
          <w:szCs w:val="24"/>
        </w:rPr>
        <w:t>[3]马欢.人类活动影响下海河流域典型区水循环变化分析[D].北京:清华大学,2011.</w:t>
      </w:r>
    </w:p>
    <w:p>
      <w:pPr>
        <w:widowControl/>
        <w:spacing w:line="360" w:lineRule="auto"/>
        <w:ind w:firstLine="482" w:firstLineChars="200"/>
        <w:jc w:val="left"/>
        <w:rPr>
          <w:rFonts w:hint="eastAsia" w:ascii="楷体" w:hAnsi="楷体" w:eastAsia="楷体" w:cs="宋体"/>
          <w:b/>
          <w:bCs/>
          <w:color w:val="000000"/>
          <w:kern w:val="0"/>
          <w:sz w:val="24"/>
          <w:szCs w:val="24"/>
        </w:rPr>
      </w:pPr>
      <w:r>
        <w:rPr>
          <w:rFonts w:hint="eastAsia" w:ascii="楷体" w:hAnsi="楷体" w:eastAsia="楷体" w:cs="宋体"/>
          <w:b/>
          <w:bCs/>
          <w:color w:val="000000"/>
          <w:kern w:val="0"/>
          <w:sz w:val="24"/>
          <w:szCs w:val="24"/>
        </w:rPr>
        <w:t>[4]萧钰.出版业信息化迈入快车道[EB/OL].(2001-12-19)[2002-04-15].http://www.creader.com/news/20011219/200112190019.html.</w:t>
      </w:r>
      <w:bookmarkStart w:id="1" w:name="_GoBack"/>
      <w:bookmarkEnd w:id="1"/>
    </w:p>
    <w:p>
      <w:pPr>
        <w:widowControl/>
        <w:spacing w:line="360" w:lineRule="auto"/>
        <w:ind w:firstLine="480" w:firstLineChars="200"/>
        <w:jc w:val="left"/>
        <w:rPr>
          <w:rFonts w:hint="eastAsia" w:ascii="宋体" w:hAnsi="宋体" w:eastAsia="宋体" w:cs="宋体"/>
          <w:color w:val="000000"/>
          <w:kern w:val="0"/>
          <w:sz w:val="18"/>
          <w:szCs w:val="18"/>
        </w:rPr>
      </w:pPr>
      <w:r>
        <w:rPr>
          <w:rFonts w:hint="eastAsia" w:ascii="楷体" w:hAnsi="楷体" w:eastAsia="楷体" w:cs="宋体"/>
          <w:color w:val="000000"/>
          <w:kern w:val="0"/>
          <w:sz w:val="24"/>
          <w:szCs w:val="24"/>
        </w:rPr>
        <w:t>三、来稿约定</w:t>
      </w:r>
    </w:p>
    <w:p>
      <w:pPr>
        <w:widowControl/>
        <w:spacing w:line="360" w:lineRule="auto"/>
        <w:ind w:firstLine="720" w:firstLineChars="300"/>
        <w:jc w:val="left"/>
        <w:rPr>
          <w:rFonts w:hint="eastAsia" w:ascii="宋体" w:hAnsi="宋体" w:eastAsia="宋体" w:cs="宋体"/>
          <w:color w:val="000000"/>
          <w:kern w:val="0"/>
          <w:sz w:val="18"/>
          <w:szCs w:val="18"/>
        </w:rPr>
      </w:pPr>
      <w:r>
        <w:rPr>
          <w:rFonts w:hint="eastAsia" w:ascii="楷体" w:hAnsi="楷体" w:eastAsia="楷体" w:cs="宋体"/>
          <w:color w:val="000000"/>
          <w:kern w:val="0"/>
          <w:sz w:val="24"/>
          <w:szCs w:val="24"/>
        </w:rPr>
        <w:t>1. 投稿后3个月内若未收到用稿通知，作者可另行投稿。在此期间内，请勿一稿多投。作者也可通过系统在线查询稿件的处理情况。本刊编辑有权对决定采用的稿件进行修改、删节。</w:t>
      </w:r>
    </w:p>
    <w:p>
      <w:pPr>
        <w:widowControl/>
        <w:spacing w:line="360" w:lineRule="auto"/>
        <w:ind w:firstLine="720" w:firstLineChars="300"/>
        <w:jc w:val="left"/>
        <w:rPr>
          <w:rFonts w:hint="eastAsia" w:ascii="宋体" w:hAnsi="宋体" w:eastAsia="宋体" w:cs="宋体"/>
          <w:color w:val="000000"/>
          <w:kern w:val="0"/>
          <w:sz w:val="18"/>
          <w:szCs w:val="18"/>
        </w:rPr>
      </w:pPr>
      <w:r>
        <w:rPr>
          <w:rFonts w:hint="eastAsia" w:ascii="楷体" w:hAnsi="楷体" w:eastAsia="楷体" w:cs="宋体"/>
          <w:color w:val="000000"/>
          <w:kern w:val="0"/>
          <w:sz w:val="24"/>
          <w:szCs w:val="24"/>
        </w:rPr>
        <w:t>2. 文章正式刊发后，编辑部将支付一定的稿酬，附赠当期学报两册。作者著作权使用费也包含在稿酬中，一并支付。</w:t>
      </w:r>
    </w:p>
    <w:p>
      <w:pPr>
        <w:widowControl/>
        <w:spacing w:line="360" w:lineRule="auto"/>
        <w:ind w:firstLine="720" w:firstLineChars="300"/>
        <w:jc w:val="left"/>
        <w:rPr>
          <w:rFonts w:hint="eastAsia" w:ascii="宋体" w:hAnsi="宋体" w:eastAsia="宋体" w:cs="宋体"/>
          <w:color w:val="000000"/>
          <w:kern w:val="0"/>
          <w:sz w:val="18"/>
          <w:szCs w:val="18"/>
        </w:rPr>
      </w:pPr>
      <w:r>
        <w:rPr>
          <w:rFonts w:hint="eastAsia" w:ascii="楷体" w:hAnsi="楷体" w:eastAsia="楷体" w:cs="宋体"/>
          <w:color w:val="000000"/>
          <w:kern w:val="0"/>
          <w:sz w:val="24"/>
          <w:szCs w:val="24"/>
        </w:rPr>
        <w:t>3. 为适应大数据发展的需要，拓展学术交流的平台，我刊已加入《中国学术期刊(光盘版)》、中国期刊网、万方数据系统、超星数据库等。凡向本刊投稿者，未特别申明的，均视为同意其文章在我刊刊登之后，可供这些数据库收录、转载并上网发行。</w:t>
      </w:r>
    </w:p>
    <w:p>
      <w:pPr>
        <w:widowControl/>
        <w:spacing w:line="360" w:lineRule="auto"/>
        <w:ind w:firstLine="720" w:firstLineChars="300"/>
        <w:jc w:val="left"/>
        <w:rPr>
          <w:rFonts w:hint="eastAsia" w:ascii="宋体" w:hAnsi="宋体" w:eastAsia="宋体" w:cs="宋体"/>
          <w:color w:val="000000"/>
          <w:kern w:val="0"/>
          <w:sz w:val="18"/>
          <w:szCs w:val="18"/>
        </w:rPr>
      </w:pPr>
      <w:r>
        <w:rPr>
          <w:rFonts w:hint="eastAsia" w:ascii="楷体" w:hAnsi="楷体" w:eastAsia="楷体" w:cs="宋体"/>
          <w:color w:val="000000"/>
          <w:kern w:val="0"/>
          <w:sz w:val="24"/>
          <w:szCs w:val="24"/>
        </w:rPr>
        <w:t>4. 本刊坚决反对学术不端行为，凡发现抄袭或篡改他人成果，伪造或篡改数据、文献，捏造事实，虚假注释以及由于作者原因造成一稿两刊或多刊的，后果自负。</w:t>
      </w:r>
    </w:p>
    <w:p>
      <w:pPr>
        <w:widowControl/>
        <w:spacing w:line="360" w:lineRule="auto"/>
        <w:ind w:firstLine="480" w:firstLineChars="200"/>
        <w:jc w:val="left"/>
        <w:rPr>
          <w:rFonts w:hint="eastAsia" w:ascii="宋体" w:hAnsi="宋体" w:eastAsia="宋体" w:cs="宋体"/>
          <w:color w:val="000000"/>
          <w:kern w:val="0"/>
          <w:sz w:val="18"/>
          <w:szCs w:val="18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 </w:t>
      </w:r>
    </w:p>
    <w:p>
      <w:pPr>
        <w:widowControl/>
        <w:spacing w:line="360" w:lineRule="auto"/>
        <w:ind w:firstLine="482" w:firstLineChars="200"/>
        <w:jc w:val="left"/>
        <w:rPr>
          <w:rFonts w:hint="eastAsia" w:ascii="宋体" w:hAnsi="宋体" w:eastAsia="宋体" w:cs="宋体"/>
          <w:color w:val="000000"/>
          <w:kern w:val="0"/>
          <w:sz w:val="18"/>
          <w:szCs w:val="18"/>
        </w:rPr>
      </w:pPr>
      <w:r>
        <w:rPr>
          <w:rFonts w:hint="eastAsia" w:ascii="楷体" w:hAnsi="楷体" w:eastAsia="楷体" w:cs="宋体"/>
          <w:b/>
          <w:bCs/>
          <w:color w:val="000000"/>
          <w:kern w:val="0"/>
          <w:sz w:val="24"/>
          <w:szCs w:val="24"/>
        </w:rPr>
        <w:t>郑重申明</w:t>
      </w:r>
      <w:r>
        <w:rPr>
          <w:rFonts w:hint="eastAsia" w:ascii="楷体" w:hAnsi="楷体" w:eastAsia="楷体" w:cs="宋体"/>
          <w:color w:val="000000"/>
          <w:kern w:val="0"/>
          <w:sz w:val="24"/>
          <w:szCs w:val="24"/>
        </w:rPr>
        <w:t>：本刊从未委托任何中介机构或个人代发文章或代收版面费。</w:t>
      </w:r>
    </w:p>
    <w:p>
      <w:pPr>
        <w:widowControl/>
        <w:spacing w:line="360" w:lineRule="auto"/>
        <w:ind w:firstLine="360" w:firstLineChars="200"/>
        <w:jc w:val="left"/>
        <w:rPr>
          <w:rFonts w:hint="eastAsia" w:ascii="宋体" w:hAnsi="宋体" w:eastAsia="宋体" w:cs="宋体"/>
          <w:color w:val="000000"/>
          <w:kern w:val="0"/>
          <w:sz w:val="18"/>
          <w:szCs w:val="18"/>
        </w:rPr>
      </w:pPr>
      <w:r>
        <w:rPr>
          <w:rFonts w:hint="eastAsia" w:ascii="宋体" w:hAnsi="宋体" w:eastAsia="宋体" w:cs="宋体"/>
          <w:color w:val="000000"/>
          <w:kern w:val="0"/>
          <w:sz w:val="18"/>
          <w:szCs w:val="18"/>
        </w:rPr>
        <w:t> </w:t>
      </w:r>
    </w:p>
    <w:p>
      <w:pPr>
        <w:spacing w:line="360" w:lineRule="auto"/>
        <w:ind w:firstLine="420" w:firstLineChars="200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gwYjk1ZTEyZTYxZDE5YjE5NDYzNDVhZTE5YzUxMTUifQ=="/>
    <w:docVar w:name="KSO_WPS_MARK_KEY" w:val="0d56693f-c11a-4c5c-852e-6b1edb0aaf75"/>
  </w:docVars>
  <w:rsids>
    <w:rsidRoot w:val="00137B58"/>
    <w:rsid w:val="0011459C"/>
    <w:rsid w:val="00137B58"/>
    <w:rsid w:val="3B230E29"/>
    <w:rsid w:val="5C824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P R C</Company>
  <Pages>2</Pages>
  <Words>1360</Words>
  <Characters>1552</Characters>
  <Lines>11</Lines>
  <Paragraphs>3</Paragraphs>
  <TotalTime>40</TotalTime>
  <ScaleCrop>false</ScaleCrop>
  <LinksUpToDate>false</LinksUpToDate>
  <CharactersWithSpaces>1589</CharactersWithSpaces>
  <Application>WPS Office_11.1.0.12650_F1E327BC-269C-435d-A152-05C5408002CA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2024-05-14T07:05:00Z</dcterms:created>
  <dc:creator>oaadmin</dc:creator>
  <cp:lastModifiedBy>oaadmin</cp:lastModifiedBy>
  <dcterms:modified xsi:type="dcterms:W3CDTF">2024-05-14T08:02:53Z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2052-11.1.0.12650</vt:lpwstr>
  </property>
  <property fmtid="{D5CDD505-2E9C-101B-9397-08002B2CF9AE}" pid="3" name="ICV">
    <vt:lpwstr>150802583F514DA6A507B6FA8F2F5237</vt:lpwstr>
  </property>
</Properties>
</file>